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896" w:type="dxa"/>
        <w:tblInd w:w="108" w:type="dxa"/>
        <w:tblLook w:val="04A0"/>
      </w:tblPr>
      <w:tblGrid>
        <w:gridCol w:w="987"/>
        <w:gridCol w:w="987"/>
        <w:gridCol w:w="987"/>
        <w:gridCol w:w="987"/>
        <w:gridCol w:w="987"/>
        <w:gridCol w:w="987"/>
        <w:gridCol w:w="987"/>
        <w:gridCol w:w="987"/>
      </w:tblGrid>
      <w:tr w:rsidR="00234A28" w:rsidRPr="00234A28" w:rsidTr="00234A28">
        <w:trPr>
          <w:trHeight w:val="315"/>
        </w:trPr>
        <w:tc>
          <w:tcPr>
            <w:tcW w:w="78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center"/>
              <w:rPr>
                <w:rFonts w:ascii=".VnArialH" w:eastAsia="Times New Roman" w:hAnsi=".VnArialH" w:cs="Times New Roman"/>
                <w:b/>
                <w:bCs/>
                <w:sz w:val="20"/>
                <w:szCs w:val="20"/>
                <w:lang w:eastAsia="vi-VN"/>
              </w:rPr>
            </w:pPr>
            <w:r w:rsidRPr="00234A28">
              <w:rPr>
                <w:rFonts w:ascii=".VnArialH" w:eastAsia="Times New Roman" w:hAnsi=".VnArialH" w:cs="Times New Roman"/>
                <w:b/>
                <w:bCs/>
                <w:sz w:val="20"/>
                <w:szCs w:val="20"/>
                <w:lang w:eastAsia="vi-VN"/>
              </w:rPr>
              <w:t xml:space="preserve">c¬ cÊu tæng s¶n phÈm trªn ®Þa bµn ph©n theo </w:t>
            </w:r>
          </w:p>
        </w:tc>
      </w:tr>
      <w:tr w:rsidR="00234A28" w:rsidRPr="00234A28" w:rsidTr="00234A28">
        <w:trPr>
          <w:trHeight w:val="315"/>
        </w:trPr>
        <w:tc>
          <w:tcPr>
            <w:tcW w:w="78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center"/>
              <w:rPr>
                <w:rFonts w:ascii=".VnArialH" w:eastAsia="Times New Roman" w:hAnsi=".VnArialH" w:cs="Times New Roman"/>
                <w:b/>
                <w:bCs/>
                <w:sz w:val="20"/>
                <w:szCs w:val="20"/>
                <w:lang w:eastAsia="vi-VN"/>
              </w:rPr>
            </w:pPr>
            <w:r w:rsidRPr="00234A28">
              <w:rPr>
                <w:rFonts w:ascii=".VnArialH" w:eastAsia="Times New Roman" w:hAnsi=".VnArialH" w:cs="Times New Roman"/>
                <w:b/>
                <w:bCs/>
                <w:sz w:val="20"/>
                <w:szCs w:val="20"/>
                <w:lang w:eastAsia="vi-VN"/>
              </w:rPr>
              <w:t>khu vùc kinh tÕ (Gi¸ thùc tÕ)</w:t>
            </w:r>
          </w:p>
        </w:tc>
      </w:tr>
      <w:tr w:rsidR="00234A28" w:rsidRPr="00234A28" w:rsidTr="00234A28">
        <w:trPr>
          <w:trHeight w:val="315"/>
        </w:trPr>
        <w:tc>
          <w:tcPr>
            <w:tcW w:w="78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center"/>
              <w:rPr>
                <w:rFonts w:ascii=".VnArialH" w:eastAsia="Times New Roman" w:hAnsi=".VnArialH" w:cs="Times New Roman"/>
                <w:b/>
                <w:bCs/>
                <w:i/>
                <w:iCs/>
                <w:sz w:val="20"/>
                <w:szCs w:val="20"/>
                <w:lang w:eastAsia="vi-VN"/>
              </w:rPr>
            </w:pPr>
            <w:r w:rsidRPr="00234A28">
              <w:rPr>
                <w:rFonts w:ascii=".VnArialH" w:eastAsia="Times New Roman" w:hAnsi=".VnArialH" w:cs="Times New Roman"/>
                <w:b/>
                <w:bCs/>
                <w:i/>
                <w:iCs/>
                <w:sz w:val="20"/>
                <w:szCs w:val="20"/>
                <w:lang w:eastAsia="vi-VN"/>
              </w:rPr>
              <w:t>Structure of gross domestic product in area</w:t>
            </w:r>
          </w:p>
        </w:tc>
      </w:tr>
      <w:tr w:rsidR="00234A28" w:rsidRPr="00234A28" w:rsidTr="00234A28">
        <w:trPr>
          <w:trHeight w:val="315"/>
        </w:trPr>
        <w:tc>
          <w:tcPr>
            <w:tcW w:w="78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center"/>
              <w:rPr>
                <w:rFonts w:ascii=".VnArialH" w:eastAsia="Times New Roman" w:hAnsi=".VnArialH" w:cs="Times New Roman"/>
                <w:b/>
                <w:bCs/>
                <w:i/>
                <w:iCs/>
                <w:sz w:val="20"/>
                <w:szCs w:val="20"/>
                <w:lang w:eastAsia="vi-VN"/>
              </w:rPr>
            </w:pPr>
            <w:r>
              <w:rPr>
                <w:rFonts w:ascii=".VnArialH" w:eastAsia="Times New Roman" w:hAnsi=".VnArialH" w:cs="Times New Roman"/>
                <w:b/>
                <w:bCs/>
                <w:i/>
                <w:iCs/>
                <w:noProof/>
                <w:sz w:val="20"/>
                <w:szCs w:val="20"/>
                <w:lang w:eastAsia="vi-VN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165735</wp:posOffset>
                  </wp:positionV>
                  <wp:extent cx="2467610" cy="2242185"/>
                  <wp:effectExtent l="19050" t="0" r="8890" b="0"/>
                  <wp:wrapNone/>
                  <wp:docPr id="2" name="Chart 4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4"/>
                    </a:graphicData>
                  </a:graphic>
                </wp:anchor>
              </w:drawing>
            </w:r>
            <w:r>
              <w:rPr>
                <w:rFonts w:ascii=".VnArialH" w:eastAsia="Times New Roman" w:hAnsi=".VnArialH" w:cs="Times New Roman"/>
                <w:b/>
                <w:bCs/>
                <w:i/>
                <w:iCs/>
                <w:noProof/>
                <w:sz w:val="20"/>
                <w:szCs w:val="20"/>
                <w:lang w:eastAsia="vi-VN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2406650</wp:posOffset>
                  </wp:positionH>
                  <wp:positionV relativeFrom="paragraph">
                    <wp:posOffset>148590</wp:posOffset>
                  </wp:positionV>
                  <wp:extent cx="2545080" cy="2195195"/>
                  <wp:effectExtent l="19050" t="0" r="7620" b="0"/>
                  <wp:wrapNone/>
                  <wp:docPr id="3" name="Chart 4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"/>
                    </a:graphicData>
                  </a:graphic>
                </wp:anchor>
              </w:drawing>
            </w:r>
            <w:r w:rsidRPr="00234A28">
              <w:rPr>
                <w:rFonts w:ascii=".VnArialH" w:eastAsia="Times New Roman" w:hAnsi=".VnArialH" w:cs="Times New Roman"/>
                <w:b/>
                <w:bCs/>
                <w:i/>
                <w:iCs/>
                <w:sz w:val="20"/>
                <w:szCs w:val="20"/>
                <w:lang w:eastAsia="vi-VN"/>
              </w:rPr>
              <w:t>by economic sector (current price)</w:t>
            </w:r>
          </w:p>
        </w:tc>
      </w:tr>
      <w:tr w:rsidR="00234A28" w:rsidRPr="00234A28" w:rsidTr="00234A28">
        <w:trPr>
          <w:trHeight w:val="255"/>
        </w:trPr>
        <w:tc>
          <w:tcPr>
            <w:tcW w:w="78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680"/>
            </w:tblGrid>
            <w:tr w:rsidR="00234A28" w:rsidRPr="00234A28">
              <w:trPr>
                <w:trHeight w:val="255"/>
                <w:tblCellSpacing w:w="0" w:type="dxa"/>
              </w:trPr>
              <w:tc>
                <w:tcPr>
                  <w:tcW w:w="7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FF"/>
                  <w:noWrap/>
                  <w:vAlign w:val="bottom"/>
                  <w:hideMark/>
                </w:tcPr>
                <w:p w:rsidR="00234A28" w:rsidRPr="00234A28" w:rsidRDefault="00234A28" w:rsidP="00234A28">
                  <w:pPr>
                    <w:jc w:val="center"/>
                    <w:rPr>
                      <w:rFonts w:ascii=".VnArial" w:eastAsia="Times New Roman" w:hAnsi=".VnArial" w:cs="Times New Roman"/>
                      <w:color w:val="FFFFFF"/>
                      <w:sz w:val="20"/>
                      <w:szCs w:val="20"/>
                      <w:lang w:eastAsia="vi-VN"/>
                    </w:rPr>
                  </w:pPr>
                  <w:r w:rsidRPr="00234A28">
                    <w:rPr>
                      <w:rFonts w:ascii=".VnArial" w:eastAsia="Times New Roman" w:hAnsi=".VnArial" w:cs="Times New Roman"/>
                      <w:color w:val="FFFFFF"/>
                      <w:sz w:val="20"/>
                      <w:szCs w:val="20"/>
                      <w:lang w:eastAsia="vi-VN"/>
                    </w:rPr>
                    <w:t> </w:t>
                  </w:r>
                </w:p>
              </w:tc>
            </w:tr>
          </w:tbl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>
              <w:rPr>
                <w:rFonts w:ascii=".VnArial" w:eastAsia="Times New Roman" w:hAnsi=".VnArial" w:cs="Times New Roman"/>
                <w:noProof/>
                <w:color w:val="FFFFFF"/>
                <w:sz w:val="20"/>
                <w:szCs w:val="20"/>
                <w:lang w:eastAsia="vi-VN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-80645</wp:posOffset>
                  </wp:positionH>
                  <wp:positionV relativeFrom="paragraph">
                    <wp:posOffset>55245</wp:posOffset>
                  </wp:positionV>
                  <wp:extent cx="2520950" cy="2346960"/>
                  <wp:effectExtent l="19050" t="0" r="0" b="0"/>
                  <wp:wrapNone/>
                  <wp:docPr id="4" name="Chart 4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</wp:anchor>
              </w:drawing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>
              <w:rPr>
                <w:rFonts w:ascii=".VnArial" w:eastAsia="Times New Roman" w:hAnsi=".VnArial" w:cs="Times New Roman"/>
                <w:noProof/>
                <w:color w:val="FFFFFF"/>
                <w:sz w:val="20"/>
                <w:szCs w:val="20"/>
                <w:lang w:eastAsia="vi-VN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502920</wp:posOffset>
                  </wp:positionH>
                  <wp:positionV relativeFrom="paragraph">
                    <wp:posOffset>-2540</wp:posOffset>
                  </wp:positionV>
                  <wp:extent cx="2555240" cy="2271395"/>
                  <wp:effectExtent l="19050" t="0" r="0" b="0"/>
                  <wp:wrapNone/>
                  <wp:docPr id="5" name="Chart 5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anchor>
              </w:drawing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>
              <w:rPr>
                <w:rFonts w:ascii=".VnArial" w:eastAsia="Times New Roman" w:hAnsi=".VnArial" w:cs="Times New Roman"/>
                <w:noProof/>
                <w:color w:val="FFFFFF"/>
                <w:sz w:val="20"/>
                <w:szCs w:val="20"/>
                <w:lang w:eastAsia="vi-VN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95885</wp:posOffset>
                  </wp:positionV>
                  <wp:extent cx="5001260" cy="1892300"/>
                  <wp:effectExtent l="19050" t="0" r="8890" b="0"/>
                  <wp:wrapNone/>
                  <wp:docPr id="6" name="Chart 5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anchor>
              </w:drawing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  <w:tr w:rsidR="00234A28" w:rsidRPr="00234A28" w:rsidTr="00234A28">
        <w:trPr>
          <w:trHeight w:val="2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  <w:r w:rsidRPr="00234A28"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28" w:rsidRPr="00234A28" w:rsidRDefault="00234A28" w:rsidP="00234A28">
            <w:pPr>
              <w:jc w:val="left"/>
              <w:rPr>
                <w:rFonts w:ascii=".VnArial" w:eastAsia="Times New Roman" w:hAnsi=".VnArial" w:cs="Times New Roman"/>
                <w:color w:val="FFFFFF"/>
                <w:sz w:val="20"/>
                <w:szCs w:val="20"/>
                <w:lang w:eastAsia="vi-VN"/>
              </w:rPr>
            </w:pPr>
          </w:p>
        </w:tc>
      </w:tr>
    </w:tbl>
    <w:p w:rsidR="00C63526" w:rsidRPr="00C63526" w:rsidRDefault="00C63526" w:rsidP="006E79AF">
      <w:pPr>
        <w:rPr>
          <w:rFonts w:cstheme="minorHAnsi"/>
          <w:b/>
          <w:sz w:val="18"/>
        </w:rPr>
      </w:pPr>
    </w:p>
    <w:sectPr w:rsidR="00C63526" w:rsidRPr="00C63526" w:rsidSect="006D7C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3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20"/>
  <w:characterSpacingControl w:val="doNotCompress"/>
  <w:compat/>
  <w:rsids>
    <w:rsidRoot w:val="006E79AF"/>
    <w:rsid w:val="001C212B"/>
    <w:rsid w:val="00234A28"/>
    <w:rsid w:val="004C0D24"/>
    <w:rsid w:val="00586979"/>
    <w:rsid w:val="005B74BF"/>
    <w:rsid w:val="006D7CD6"/>
    <w:rsid w:val="006E79AF"/>
    <w:rsid w:val="00AF32B8"/>
    <w:rsid w:val="00C63526"/>
    <w:rsid w:val="00D03159"/>
    <w:rsid w:val="00D331F9"/>
    <w:rsid w:val="00E31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C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5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5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3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10" Type="http://schemas.openxmlformats.org/officeDocument/2006/relationships/theme" Target="theme/theme1.xml"/><Relationship Id="rId4" Type="http://schemas.openxmlformats.org/officeDocument/2006/relationships/chart" Target="charts/chart1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layout>
        <c:manualLayout>
          <c:xMode val="edge"/>
          <c:yMode val="edge"/>
          <c:x val="0.43650960296629587"/>
          <c:y val="0.12796258287619275"/>
        </c:manualLayout>
      </c:layout>
      <c:spPr>
        <a:noFill/>
        <a:ln w="25400">
          <a:noFill/>
        </a:ln>
      </c:spPr>
      <c:txPr>
        <a:bodyPr/>
        <a:lstStyle/>
        <a:p>
          <a:pPr>
            <a:defRPr sz="1050" b="1" i="0" u="none" strike="noStrike" baseline="0">
              <a:solidFill>
                <a:srgbClr val="000000"/>
              </a:solidFill>
              <a:latin typeface=".VnArial"/>
              <a:ea typeface=".VnArial"/>
              <a:cs typeface=".VnArial"/>
            </a:defRPr>
          </a:pPr>
          <a:endParaRPr lang="vi-VN"/>
        </a:p>
      </c:txPr>
    </c:title>
    <c:view3D>
      <c:rotY val="200"/>
      <c:perspective val="0"/>
    </c:view3D>
    <c:plotArea>
      <c:layout>
        <c:manualLayout>
          <c:layoutTarget val="inner"/>
          <c:xMode val="edge"/>
          <c:yMode val="edge"/>
          <c:x val="2.7777885423973199E-2"/>
          <c:y val="0.31279693238330397"/>
          <c:w val="0.90079714160598645"/>
          <c:h val="0.42654127143177817"/>
        </c:manualLayout>
      </c:layout>
      <c:pie3DChart>
        <c:varyColors val="1"/>
        <c:ser>
          <c:idx val="0"/>
          <c:order val="0"/>
          <c:tx>
            <c:strRef>
              <c:f>nguon!$A$40</c:f>
              <c:strCache>
                <c:ptCount val="1"/>
                <c:pt idx="0">
                  <c:v>2005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explosion val="0"/>
            <c:spPr>
              <a:solidFill>
                <a:srgbClr val="FF0000"/>
              </a:solidFill>
              <a:ln w="25400">
                <a:noFill/>
              </a:ln>
            </c:spPr>
          </c:dPt>
          <c:dPt>
            <c:idx val="1"/>
            <c:spPr>
              <a:solidFill>
                <a:srgbClr val="3366FF"/>
              </a:solidFill>
              <a:ln w="25400">
                <a:noFill/>
              </a:ln>
            </c:spPr>
          </c:dPt>
          <c:dPt>
            <c:idx val="2"/>
            <c:spPr>
              <a:solidFill>
                <a:srgbClr val="FFCC00"/>
              </a:solidFill>
              <a:ln w="25400">
                <a:noFill/>
              </a:ln>
            </c:spPr>
          </c:dPt>
          <c:dLbls>
            <c:dLbl>
              <c:idx val="0"/>
              <c:layout>
                <c:manualLayout>
                  <c:x val="0.25010433536812315"/>
                  <c:y val="2.0420166291022467E-2"/>
                </c:manualLayout>
              </c:layout>
              <c:dLblPos val="bestFit"/>
              <c:showPercent val="1"/>
            </c:dLbl>
            <c:dLbl>
              <c:idx val="1"/>
              <c:layout>
                <c:manualLayout>
                  <c:x val="-0.19562384266122371"/>
                  <c:y val="1.0755587653860981E-3"/>
                </c:manualLayout>
              </c:layout>
              <c:dLblPos val="bestFit"/>
              <c:showPercent val="1"/>
            </c:dLbl>
            <c:dLbl>
              <c:idx val="2"/>
              <c:layout>
                <c:manualLayout>
                  <c:x val="-0.19905950799554289"/>
                  <c:y val="-0.15685369829556478"/>
                </c:manualLayout>
              </c:layout>
              <c:dLblPos val="bestFit"/>
              <c:showPercent val="1"/>
            </c:dLbl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Percent val="1"/>
            <c:showLeaderLines val="1"/>
          </c:dLbls>
          <c:cat>
            <c:strRef>
              <c:f>nguon!$B$39:$D$39</c:f>
              <c:strCache>
                <c:ptCount val="3"/>
                <c:pt idx="0">
                  <c:v>N«ng l©m nghiÖp vµ thuû s¶n - Agriculture, forestry and fishing</c:v>
                </c:pt>
                <c:pt idx="1">
                  <c:v>C«ng nghiÖp vµ x©y dùng - Industry and constrution</c:v>
                </c:pt>
                <c:pt idx="2">
                  <c:v>DÞch vô - Services</c:v>
                </c:pt>
              </c:strCache>
            </c:strRef>
          </c:cat>
          <c:val>
            <c:numRef>
              <c:f>nguon!$B$40:$D$40</c:f>
              <c:numCache>
                <c:formatCode>#,##0</c:formatCode>
                <c:ptCount val="3"/>
                <c:pt idx="0">
                  <c:v>3662926</c:v>
                </c:pt>
                <c:pt idx="1">
                  <c:v>1447616</c:v>
                </c:pt>
                <c:pt idx="2">
                  <c:v>2254384</c:v>
                </c:pt>
              </c:numCache>
            </c:numRef>
          </c:val>
        </c:ser>
        <c:dLbls>
          <c:showPercent val="1"/>
        </c:dLbls>
      </c:pie3DChart>
      <c:spPr>
        <a:noFill/>
        <a:ln w="25400">
          <a:noFill/>
        </a:ln>
      </c:spPr>
    </c:plotArea>
    <c:plotVisOnly val="1"/>
    <c:dispBlanksAs val="zero"/>
  </c:chart>
  <c:spPr>
    <a:solidFill>
      <a:srgbClr val="CCFFFF"/>
    </a:solidFill>
    <a:ln w="9525">
      <a:noFill/>
    </a:ln>
  </c:spPr>
  <c:txPr>
    <a:bodyPr/>
    <a:lstStyle/>
    <a:p>
      <a:pPr>
        <a:defRPr sz="1025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layout>
        <c:manualLayout>
          <c:xMode val="edge"/>
          <c:yMode val="edge"/>
          <c:x val="0.46360314156132765"/>
          <c:y val="0.10849056603773588"/>
        </c:manualLayout>
      </c:layout>
      <c:spPr>
        <a:noFill/>
        <a:ln w="25400">
          <a:noFill/>
        </a:ln>
      </c:spPr>
      <c:txPr>
        <a:bodyPr/>
        <a:lstStyle/>
        <a:p>
          <a:pPr>
            <a:defRPr sz="1050" b="1" i="0" u="none" strike="noStrike" baseline="0">
              <a:solidFill>
                <a:srgbClr val="000000"/>
              </a:solidFill>
              <a:latin typeface=".VnArial"/>
              <a:ea typeface=".VnArial"/>
              <a:cs typeface=".VnArial"/>
            </a:defRPr>
          </a:pPr>
          <a:endParaRPr lang="vi-VN"/>
        </a:p>
      </c:txPr>
    </c:title>
    <c:view3D>
      <c:rotY val="200"/>
      <c:perspective val="0"/>
    </c:view3D>
    <c:plotArea>
      <c:layout>
        <c:manualLayout>
          <c:layoutTarget val="inner"/>
          <c:xMode val="edge"/>
          <c:yMode val="edge"/>
          <c:x val="5.3640047443903556E-2"/>
          <c:y val="0.30188679245283057"/>
          <c:w val="0.86207219106273558"/>
          <c:h val="0.42452830188679275"/>
        </c:manualLayout>
      </c:layout>
      <c:pie3DChart>
        <c:varyColors val="1"/>
        <c:ser>
          <c:idx val="0"/>
          <c:order val="0"/>
          <c:tx>
            <c:strRef>
              <c:f>nguon!$A$42</c:f>
              <c:strCache>
                <c:ptCount val="1"/>
                <c:pt idx="0">
                  <c:v>2010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explosion val="0"/>
            <c:spPr>
              <a:solidFill>
                <a:srgbClr val="FF0000"/>
              </a:solidFill>
              <a:ln w="25400">
                <a:noFill/>
              </a:ln>
            </c:spPr>
          </c:dPt>
          <c:dPt>
            <c:idx val="1"/>
            <c:spPr>
              <a:solidFill>
                <a:srgbClr val="3366FF"/>
              </a:solidFill>
              <a:ln w="25400">
                <a:noFill/>
              </a:ln>
            </c:spPr>
          </c:dPt>
          <c:dPt>
            <c:idx val="2"/>
            <c:spPr>
              <a:solidFill>
                <a:srgbClr val="FFCC00"/>
              </a:solidFill>
              <a:ln w="25400">
                <a:noFill/>
              </a:ln>
            </c:spPr>
          </c:dPt>
          <c:dLbls>
            <c:dLbl>
              <c:idx val="0"/>
              <c:layout>
                <c:manualLayout>
                  <c:x val="0.26482466757454903"/>
                  <c:y val="-5.8173624523349494E-3"/>
                </c:manualLayout>
              </c:layout>
              <c:dLblPos val="bestFit"/>
              <c:showPercent val="1"/>
            </c:dLbl>
            <c:dLbl>
              <c:idx val="1"/>
              <c:layout>
                <c:manualLayout>
                  <c:x val="-0.18274529380426893"/>
                  <c:y val="1.1496062992125961E-2"/>
                </c:manualLayout>
              </c:layout>
              <c:dLblPos val="bestFit"/>
              <c:showPercent val="1"/>
            </c:dLbl>
            <c:dLbl>
              <c:idx val="2"/>
              <c:layout>
                <c:manualLayout>
                  <c:x val="-0.19310586176727909"/>
                  <c:y val="-0.15339672163621065"/>
                </c:manualLayout>
              </c:layout>
              <c:dLblPos val="bestFit"/>
              <c:showPercent val="1"/>
            </c:dLbl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Percent val="1"/>
            <c:showLeaderLines val="1"/>
          </c:dLbls>
          <c:cat>
            <c:strRef>
              <c:f>nguon!$B$41:$D$41</c:f>
              <c:strCache>
                <c:ptCount val="3"/>
                <c:pt idx="0">
                  <c:v>N«ng nghiÖp, l©m nghiÖp vµ ng­ nghiÖp - Agriculture, forestry and fishing</c:v>
                </c:pt>
                <c:pt idx="1">
                  <c:v>C«ng nghiÖp vµ x©y dùng - Industry and constrution</c:v>
                </c:pt>
                <c:pt idx="2">
                  <c:v>DÞch vô - Services</c:v>
                </c:pt>
              </c:strCache>
            </c:strRef>
          </c:cat>
          <c:val>
            <c:numRef>
              <c:f>nguon!$B$42:$D$42</c:f>
              <c:numCache>
                <c:formatCode>#,##0</c:formatCode>
                <c:ptCount val="3"/>
                <c:pt idx="0">
                  <c:v>11290081</c:v>
                </c:pt>
                <c:pt idx="1">
                  <c:v>4806837</c:v>
                </c:pt>
                <c:pt idx="2">
                  <c:v>8055406</c:v>
                </c:pt>
              </c:numCache>
            </c:numRef>
          </c:val>
        </c:ser>
        <c:dLbls>
          <c:showPercent val="1"/>
        </c:dLbls>
      </c:pie3DChart>
      <c:spPr>
        <a:noFill/>
        <a:ln w="25400">
          <a:noFill/>
        </a:ln>
      </c:spPr>
    </c:plotArea>
    <c:plotVisOnly val="1"/>
    <c:dispBlanksAs val="zero"/>
  </c:chart>
  <c:spPr>
    <a:solidFill>
      <a:srgbClr val="CCFFFF"/>
    </a:solidFill>
    <a:ln w="9525">
      <a:noFill/>
    </a:ln>
  </c:spPr>
  <c:txPr>
    <a:bodyPr/>
    <a:lstStyle/>
    <a:p>
      <a:pPr>
        <a:defRPr sz="1075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layout>
        <c:manualLayout>
          <c:xMode val="edge"/>
          <c:yMode val="edge"/>
          <c:x val="0.42460484106153396"/>
          <c:y val="0.11111154315587096"/>
        </c:manualLayout>
      </c:layout>
      <c:spPr>
        <a:noFill/>
        <a:ln w="25400">
          <a:noFill/>
        </a:ln>
      </c:spPr>
      <c:txPr>
        <a:bodyPr/>
        <a:lstStyle/>
        <a:p>
          <a:pPr>
            <a:defRPr sz="1050" b="1" i="0" u="none" strike="noStrike" baseline="0">
              <a:solidFill>
                <a:srgbClr val="000000"/>
              </a:solidFill>
              <a:latin typeface=".VnArial"/>
              <a:ea typeface=".VnArial"/>
              <a:cs typeface=".VnArial"/>
            </a:defRPr>
          </a:pPr>
          <a:endParaRPr lang="vi-VN"/>
        </a:p>
      </c:txPr>
    </c:title>
    <c:view3D>
      <c:rotY val="200"/>
      <c:perspective val="0"/>
    </c:view3D>
    <c:plotArea>
      <c:layout>
        <c:manualLayout>
          <c:layoutTarget val="inner"/>
          <c:xMode val="edge"/>
          <c:yMode val="edge"/>
          <c:x val="3.5714424116536907E-2"/>
          <c:y val="0.29629748704944342"/>
          <c:w val="0.92063848833739592"/>
          <c:h val="0.37860234456317743"/>
        </c:manualLayout>
      </c:layout>
      <c:pie3DChart>
        <c:varyColors val="1"/>
        <c:ser>
          <c:idx val="0"/>
          <c:order val="0"/>
          <c:tx>
            <c:strRef>
              <c:f>nguon!$A$44</c:f>
              <c:strCache>
                <c:ptCount val="1"/>
                <c:pt idx="0">
                  <c:v>2011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explosion val="0"/>
            <c:spPr>
              <a:solidFill>
                <a:srgbClr val="FF0000"/>
              </a:solidFill>
              <a:ln w="25400">
                <a:noFill/>
              </a:ln>
            </c:spPr>
          </c:dPt>
          <c:dPt>
            <c:idx val="1"/>
            <c:spPr>
              <a:solidFill>
                <a:srgbClr val="3366FF"/>
              </a:solidFill>
              <a:ln w="25400">
                <a:noFill/>
              </a:ln>
            </c:spPr>
          </c:dPt>
          <c:dPt>
            <c:idx val="2"/>
            <c:spPr>
              <a:solidFill>
                <a:srgbClr val="FFCC00"/>
              </a:solidFill>
              <a:ln w="25400">
                <a:noFill/>
              </a:ln>
            </c:spPr>
          </c:dPt>
          <c:dLbls>
            <c:dLbl>
              <c:idx val="0"/>
              <c:layout>
                <c:manualLayout>
                  <c:x val="0.27533295611684738"/>
                  <c:y val="7.3990249723173782E-3"/>
                </c:manualLayout>
              </c:layout>
              <c:dLblPos val="bestFit"/>
              <c:showPercent val="1"/>
            </c:dLbl>
            <c:dLbl>
              <c:idx val="1"/>
              <c:layout>
                <c:manualLayout>
                  <c:x val="-0.19992379873313221"/>
                  <c:y val="2.2557981001864544E-2"/>
                </c:manualLayout>
              </c:layout>
              <c:dLblPos val="bestFit"/>
              <c:showPercent val="1"/>
            </c:dLbl>
            <c:dLbl>
              <c:idx val="2"/>
              <c:layout>
                <c:manualLayout>
                  <c:x val="-0.169381743948673"/>
                  <c:y val="-0.14455137552250422"/>
                </c:manualLayout>
              </c:layout>
              <c:dLblPos val="bestFit"/>
              <c:showPercent val="1"/>
            </c:dLbl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Percent val="1"/>
            <c:showLeaderLines val="1"/>
          </c:dLbls>
          <c:cat>
            <c:strRef>
              <c:f>nguon!$B$43:$D$43</c:f>
              <c:strCache>
                <c:ptCount val="3"/>
                <c:pt idx="0">
                  <c:v>N«ng nghiÖp, l©m nghiÖp vµ ng­ nghiÖp - Agriculture, forestry and fishing</c:v>
                </c:pt>
                <c:pt idx="1">
                  <c:v>C«ng nghiÖp vµ x©y dùng - Industry and constrution</c:v>
                </c:pt>
                <c:pt idx="2">
                  <c:v>DÞch vô - Services</c:v>
                </c:pt>
              </c:strCache>
            </c:strRef>
          </c:cat>
          <c:val>
            <c:numRef>
              <c:f>nguon!$B$44:$D$44</c:f>
              <c:numCache>
                <c:formatCode>#,##0</c:formatCode>
                <c:ptCount val="3"/>
                <c:pt idx="0">
                  <c:v>14849843</c:v>
                </c:pt>
                <c:pt idx="1">
                  <c:v>6249672</c:v>
                </c:pt>
                <c:pt idx="2">
                  <c:v>10189445</c:v>
                </c:pt>
              </c:numCache>
            </c:numRef>
          </c:val>
        </c:ser>
        <c:dLbls>
          <c:showPercent val="1"/>
        </c:dLbls>
      </c:pie3DChart>
      <c:spPr>
        <a:noFill/>
        <a:ln w="25400">
          <a:noFill/>
        </a:ln>
      </c:spPr>
    </c:plotArea>
    <c:plotVisOnly val="1"/>
    <c:dispBlanksAs val="zero"/>
  </c:chart>
  <c:spPr>
    <a:solidFill>
      <a:srgbClr val="CCFFFF"/>
    </a:solidFill>
    <a:ln w="9525">
      <a:noFill/>
    </a:ln>
  </c:spPr>
  <c:txPr>
    <a:bodyPr/>
    <a:lstStyle/>
    <a:p>
      <a:pPr>
        <a:defRPr sz="1050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layout>
        <c:manualLayout>
          <c:xMode val="edge"/>
          <c:yMode val="edge"/>
          <c:x val="0.46718227789093941"/>
          <c:y val="9.40175426789600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050" b="1" i="0" u="none" strike="noStrike" baseline="0">
              <a:solidFill>
                <a:srgbClr val="000000"/>
              </a:solidFill>
              <a:latin typeface=".VnArial"/>
              <a:ea typeface=".VnArial"/>
              <a:cs typeface=".VnArial"/>
            </a:defRPr>
          </a:pPr>
          <a:endParaRPr lang="vi-VN"/>
        </a:p>
      </c:txPr>
    </c:title>
    <c:view3D>
      <c:rotY val="200"/>
      <c:perspective val="0"/>
    </c:view3D>
    <c:plotArea>
      <c:layout>
        <c:manualLayout>
          <c:layoutTarget val="inner"/>
          <c:xMode val="edge"/>
          <c:yMode val="edge"/>
          <c:x val="2.7027077979982342E-2"/>
          <c:y val="0.28205245915322497"/>
          <c:w val="0.89961559561941162"/>
          <c:h val="0.39743755607954451"/>
        </c:manualLayout>
      </c:layout>
      <c:pie3DChart>
        <c:varyColors val="1"/>
        <c:ser>
          <c:idx val="0"/>
          <c:order val="0"/>
          <c:tx>
            <c:strRef>
              <c:f>nguon!$A$46</c:f>
              <c:strCache>
                <c:ptCount val="1"/>
                <c:pt idx="0">
                  <c:v>2012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explosion val="0"/>
            <c:spPr>
              <a:solidFill>
                <a:srgbClr val="FF0000"/>
              </a:solidFill>
              <a:ln w="25400">
                <a:noFill/>
              </a:ln>
            </c:spPr>
          </c:dPt>
          <c:dPt>
            <c:idx val="1"/>
            <c:spPr>
              <a:solidFill>
                <a:srgbClr val="3366FF"/>
              </a:solidFill>
              <a:ln w="25400">
                <a:noFill/>
              </a:ln>
            </c:spPr>
          </c:dPt>
          <c:dPt>
            <c:idx val="2"/>
            <c:spPr>
              <a:solidFill>
                <a:srgbClr val="FFCC00"/>
              </a:solidFill>
              <a:ln w="25400">
                <a:noFill/>
              </a:ln>
            </c:spPr>
          </c:dPt>
          <c:dLbls>
            <c:dLbl>
              <c:idx val="0"/>
              <c:layout>
                <c:manualLayout>
                  <c:x val="0.25482673523983368"/>
                  <c:y val="-1.4159580676573739E-2"/>
                </c:manualLayout>
              </c:layout>
              <c:numFmt formatCode="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.VnArial"/>
                      <a:ea typeface=".VnArial"/>
                      <a:cs typeface=".VnArial"/>
                    </a:defRPr>
                  </a:pPr>
                  <a:endParaRPr lang="vi-VN"/>
                </a:p>
              </c:txPr>
              <c:dLblPos val="bestFit"/>
              <c:showPercent val="1"/>
            </c:dLbl>
            <c:dLbl>
              <c:idx val="1"/>
              <c:layout>
                <c:manualLayout>
                  <c:x val="-0.1702850657181367"/>
                  <c:y val="3.4590932543688446E-2"/>
                </c:manualLayout>
              </c:layout>
              <c:numFmt formatCode="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.VnArial"/>
                      <a:ea typeface=".VnArial"/>
                      <a:cs typeface=".VnArial"/>
                    </a:defRPr>
                  </a:pPr>
                  <a:endParaRPr lang="vi-VN"/>
                </a:p>
              </c:txPr>
              <c:dLblPos val="bestFit"/>
              <c:showPercent val="1"/>
            </c:dLbl>
            <c:dLbl>
              <c:idx val="2"/>
              <c:layout>
                <c:manualLayout>
                  <c:x val="-0.18149352952502573"/>
                  <c:y val="-0.12192072144828064"/>
                </c:manualLayout>
              </c:layout>
              <c:numFmt formatCode="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.VnArial"/>
                      <a:ea typeface=".VnArial"/>
                      <a:cs typeface=".VnArial"/>
                    </a:defRPr>
                  </a:pPr>
                  <a:endParaRPr lang="vi-VN"/>
                </a:p>
              </c:txPr>
              <c:dLblPos val="bestFit"/>
              <c:showPercent val="1"/>
            </c:dLbl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5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Percent val="1"/>
            <c:showLeaderLines val="1"/>
          </c:dLbls>
          <c:cat>
            <c:strRef>
              <c:f>nguon!$B$45:$D$45</c:f>
              <c:strCache>
                <c:ptCount val="3"/>
                <c:pt idx="0">
                  <c:v>N«ng nghiÖp, l©m nghiÖp vµ ng­ nghiÖp - Agriculture, forestry and fishing</c:v>
                </c:pt>
                <c:pt idx="1">
                  <c:v>C«ng nghiÖp vµ x©y dùng - Industry and constrution</c:v>
                </c:pt>
                <c:pt idx="2">
                  <c:v>DÞch vô - Services</c:v>
                </c:pt>
              </c:strCache>
            </c:strRef>
          </c:cat>
          <c:val>
            <c:numRef>
              <c:f>nguon!$B$46:$D$46</c:f>
              <c:numCache>
                <c:formatCode>#,##0</c:formatCode>
                <c:ptCount val="3"/>
                <c:pt idx="0">
                  <c:v>17557550</c:v>
                </c:pt>
                <c:pt idx="1">
                  <c:v>9212089</c:v>
                </c:pt>
                <c:pt idx="2">
                  <c:v>12911097</c:v>
                </c:pt>
              </c:numCache>
            </c:numRef>
          </c:val>
        </c:ser>
        <c:dLbls>
          <c:showPercent val="1"/>
        </c:dLbls>
      </c:pie3DChart>
      <c:spPr>
        <a:noFill/>
        <a:ln w="25400">
          <a:noFill/>
        </a:ln>
      </c:spPr>
    </c:plotArea>
    <c:plotVisOnly val="1"/>
    <c:dispBlanksAs val="zero"/>
  </c:chart>
  <c:spPr>
    <a:solidFill>
      <a:srgbClr val="CCFFFF"/>
    </a:solidFill>
    <a:ln w="9525">
      <a:noFill/>
    </a:ln>
  </c:spPr>
  <c:txPr>
    <a:bodyPr/>
    <a:lstStyle/>
    <a:p>
      <a:pPr>
        <a:defRPr sz="1075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autoTitleDeleted val="1"/>
    <c:view3D>
      <c:rotX val="10"/>
      <c:rotY val="168"/>
      <c:perspective val="0"/>
    </c:view3D>
    <c:plotArea>
      <c:layout>
        <c:manualLayout>
          <c:layoutTarget val="inner"/>
          <c:xMode val="edge"/>
          <c:yMode val="edge"/>
          <c:x val="2.4136092577468918E-2"/>
          <c:y val="4.0609137055837574E-2"/>
          <c:w val="0.88975884863707122"/>
          <c:h val="0.72758037225042305"/>
        </c:manualLayout>
      </c:layout>
      <c:pie3DChart>
        <c:varyColors val="1"/>
        <c:ser>
          <c:idx val="0"/>
          <c:order val="0"/>
          <c:tx>
            <c:strRef>
              <c:f>nguon!$A$40</c:f>
              <c:strCache>
                <c:ptCount val="1"/>
                <c:pt idx="0">
                  <c:v>2005</c:v>
                </c:pt>
              </c:strCache>
            </c:strRef>
          </c:tx>
          <c:spPr>
            <a:solidFill>
              <a:srgbClr val="FF0000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explosion val="264"/>
            <c:spPr>
              <a:solidFill>
                <a:srgbClr val="FF0000"/>
              </a:solidFill>
              <a:ln w="25400">
                <a:noFill/>
              </a:ln>
            </c:spPr>
          </c:dPt>
          <c:dPt>
            <c:idx val="1"/>
            <c:explosion val="0"/>
            <c:spPr>
              <a:solidFill>
                <a:srgbClr val="3366FF"/>
              </a:solidFill>
              <a:ln w="25400">
                <a:noFill/>
              </a:ln>
            </c:spPr>
          </c:dPt>
          <c:dPt>
            <c:idx val="2"/>
            <c:explosion val="267"/>
            <c:spPr>
              <a:solidFill>
                <a:srgbClr val="FFCC00"/>
              </a:solidFill>
              <a:ln w="25400">
                <a:noFill/>
              </a:ln>
            </c:spPr>
          </c:dPt>
          <c:dLbls>
            <c:dLbl>
              <c:idx val="0"/>
              <c:layout>
                <c:manualLayout>
                  <c:x val="-8.6927392991003355E-2"/>
                  <c:y val="0.24870538390822994"/>
                </c:manualLayout>
              </c:layout>
              <c:tx>
                <c:rich>
                  <a:bodyPr/>
                  <a:lstStyle/>
                  <a:p>
                    <a:r>
                      <a:rPr lang="vi-VN"/>
                      <a:t>N«ng l©m nghiÖp vµ thuû s¶n- Agriculture, forestry and fishing</a:t>
                    </a:r>
                  </a:p>
                </c:rich>
              </c:tx>
              <c:dLblPos val="bestFit"/>
            </c:dLbl>
            <c:dLbl>
              <c:idx val="1"/>
              <c:layout>
                <c:manualLayout>
                  <c:x val="-0.12837141932600887"/>
                  <c:y val="0.29949238578680226"/>
                </c:manualLayout>
              </c:layout>
              <c:tx>
                <c:rich>
                  <a:bodyPr/>
                  <a:lstStyle/>
                  <a:p>
                    <a:r>
                      <a:rPr lang="vi-VN"/>
                      <a:t>C«ng nghiÖp vµ x©y dùng Industry and constrution</a:t>
                    </a:r>
                  </a:p>
                </c:rich>
              </c:tx>
              <c:dLblPos val="bestFit"/>
            </c:dLbl>
            <c:dLbl>
              <c:idx val="2"/>
              <c:layout>
                <c:manualLayout>
                  <c:x val="-9.6542726679712976E-2"/>
                  <c:y val="9.9764712152097798E-2"/>
                </c:manualLayout>
              </c:layout>
              <c:tx>
                <c:rich>
                  <a:bodyPr/>
                  <a:lstStyle/>
                  <a:p>
                    <a:r>
                      <a:rPr lang="vi-VN"/>
                      <a:t>DÞch vô- Services</a:t>
                    </a:r>
                  </a:p>
                </c:rich>
              </c:tx>
              <c:dLblPos val="bestFit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CatName val="1"/>
          </c:dLbls>
          <c:cat>
            <c:strRef>
              <c:f>nguon!$B$39:$D$39</c:f>
              <c:strCache>
                <c:ptCount val="3"/>
                <c:pt idx="0">
                  <c:v>N«ng l©m nghiÖp vµ thuû s¶n - Agriculture, forestry and fishing</c:v>
                </c:pt>
                <c:pt idx="1">
                  <c:v>C«ng nghiÖp vµ x©y dùng - Industry and constrution</c:v>
                </c:pt>
                <c:pt idx="2">
                  <c:v>DÞch vô - Services</c:v>
                </c:pt>
              </c:strCache>
            </c:strRef>
          </c:cat>
          <c:val>
            <c:numRef>
              <c:f>nguon!$B$40:$D$40</c:f>
              <c:numCache>
                <c:formatCode>#,##0</c:formatCode>
                <c:ptCount val="3"/>
                <c:pt idx="0">
                  <c:v>3662926</c:v>
                </c:pt>
                <c:pt idx="1">
                  <c:v>1447616</c:v>
                </c:pt>
                <c:pt idx="2">
                  <c:v>2254384</c:v>
                </c:pt>
              </c:numCache>
            </c:numRef>
          </c:val>
        </c:ser>
        <c:dLbls>
          <c:showCatName val="1"/>
        </c:dLbls>
      </c:pie3DChart>
      <c:spPr>
        <a:noFill/>
        <a:ln w="25400">
          <a:noFill/>
        </a:ln>
      </c:spPr>
    </c:plotArea>
    <c:plotVisOnly val="1"/>
    <c:dispBlanksAs val="zero"/>
  </c:chart>
  <c:spPr>
    <a:solidFill>
      <a:srgbClr val="CCFFFF"/>
    </a:solidFill>
    <a:ln w="9525"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267</Words>
  <Characters>267</Characters>
  <Application>Microsoft Office Word</Application>
  <DocSecurity>0</DocSecurity>
  <Lines>267</Lines>
  <Paragraphs>266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2013-07-25T01:17:00Z</dcterms:created>
  <dcterms:modified xsi:type="dcterms:W3CDTF">2013-07-25T02:33:00Z</dcterms:modified>
</cp:coreProperties>
</file>